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01E7" w:rsidRPr="00F36398" w:rsidRDefault="00F36398">
      <w:pPr>
        <w:rPr>
          <w:b/>
          <w:i/>
          <w:sz w:val="26"/>
          <w:szCs w:val="26"/>
        </w:rPr>
      </w:pPr>
      <w:r w:rsidRPr="00F36398">
        <w:rPr>
          <w:b/>
          <w:i/>
          <w:sz w:val="26"/>
          <w:szCs w:val="26"/>
        </w:rPr>
        <w:t>Standards for Outdoor Lighting</w:t>
      </w:r>
    </w:p>
    <w:p w14:paraId="00000002" w14:textId="77777777" w:rsidR="004601E7" w:rsidRPr="00F36398" w:rsidRDefault="004601E7">
      <w:pPr>
        <w:rPr>
          <w:b/>
          <w:i/>
          <w:sz w:val="26"/>
          <w:szCs w:val="26"/>
          <w:u w:val="single"/>
        </w:rPr>
      </w:pPr>
    </w:p>
    <w:p w14:paraId="00000003" w14:textId="77777777" w:rsidR="004601E7" w:rsidRPr="00F36398" w:rsidRDefault="00F36398">
      <w:pPr>
        <w:rPr>
          <w:i/>
        </w:rPr>
      </w:pPr>
      <w:r w:rsidRPr="00F36398">
        <w:rPr>
          <w:i/>
        </w:rPr>
        <w:t>When purchasing outdoor lighting, buyers have several options for energy certifications available to them including ENERGY STAR, FEMP-designated products, DLC, and DLC Premium. Buyers should specify one or multiple certification levels that all outdoor lig</w:t>
      </w:r>
      <w:r w:rsidRPr="00F36398">
        <w:rPr>
          <w:i/>
        </w:rPr>
        <w:t>hting products supplied must comply with. Our team has assessed the four lighting standards and determined that in general for commercial applications, DLC Premium has the highest efficacy requirements for outdoor lighting categories.</w:t>
      </w:r>
    </w:p>
    <w:p w14:paraId="00000004" w14:textId="77777777" w:rsidR="004601E7" w:rsidRPr="00F36398" w:rsidRDefault="004601E7">
      <w:pPr>
        <w:rPr>
          <w:i/>
        </w:rPr>
      </w:pPr>
    </w:p>
    <w:p w14:paraId="00000005" w14:textId="77777777" w:rsidR="004601E7" w:rsidRPr="00F36398" w:rsidRDefault="00F36398">
      <w:pPr>
        <w:rPr>
          <w:i/>
        </w:rPr>
      </w:pPr>
      <w:r w:rsidRPr="00F36398">
        <w:rPr>
          <w:i/>
        </w:rPr>
        <w:t>The table below give</w:t>
      </w:r>
      <w:r w:rsidRPr="00F36398">
        <w:rPr>
          <w:i/>
        </w:rPr>
        <w:t xml:space="preserve">s an example of the variability in efficacy levels for the different types of certifications available for outdoor lighting. </w:t>
      </w:r>
    </w:p>
    <w:p w14:paraId="00000006" w14:textId="77777777" w:rsidR="004601E7" w:rsidRPr="00F36398" w:rsidRDefault="004601E7">
      <w:pPr>
        <w:rPr>
          <w: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325"/>
        <w:gridCol w:w="1395"/>
        <w:gridCol w:w="1880"/>
        <w:gridCol w:w="1880"/>
      </w:tblGrid>
      <w:tr w:rsidR="004601E7" w:rsidRPr="00F36398" w14:paraId="3753DAD1" w14:textId="77777777">
        <w:tc>
          <w:tcPr>
            <w:tcW w:w="1880" w:type="dxa"/>
            <w:shd w:val="clear" w:color="auto" w:fill="FFFFFF"/>
            <w:tcMar>
              <w:top w:w="140" w:type="dxa"/>
              <w:left w:w="140" w:type="dxa"/>
              <w:bottom w:w="140" w:type="dxa"/>
              <w:right w:w="140" w:type="dxa"/>
            </w:tcMar>
            <w:vAlign w:val="center"/>
          </w:tcPr>
          <w:p w14:paraId="00000007" w14:textId="77777777" w:rsidR="004601E7" w:rsidRPr="00F36398" w:rsidRDefault="00F36398">
            <w:pPr>
              <w:widowControl w:val="0"/>
              <w:spacing w:line="240" w:lineRule="auto"/>
              <w:jc w:val="center"/>
              <w:rPr>
                <w:b/>
              </w:rPr>
            </w:pPr>
            <w:r w:rsidRPr="00F36398">
              <w:rPr>
                <w:b/>
              </w:rPr>
              <w:t>Brands</w:t>
            </w:r>
          </w:p>
        </w:tc>
        <w:tc>
          <w:tcPr>
            <w:tcW w:w="2325" w:type="dxa"/>
            <w:shd w:val="clear" w:color="auto" w:fill="FFFFFF"/>
            <w:tcMar>
              <w:top w:w="140" w:type="dxa"/>
              <w:left w:w="140" w:type="dxa"/>
              <w:bottom w:w="140" w:type="dxa"/>
              <w:right w:w="140" w:type="dxa"/>
            </w:tcMar>
            <w:vAlign w:val="center"/>
          </w:tcPr>
          <w:p w14:paraId="00000008" w14:textId="77777777" w:rsidR="004601E7" w:rsidRPr="00F36398" w:rsidRDefault="00F36398">
            <w:pPr>
              <w:widowControl w:val="0"/>
              <w:spacing w:line="240" w:lineRule="auto"/>
              <w:jc w:val="center"/>
            </w:pPr>
            <w:hyperlink r:id="rId6">
              <w:r w:rsidRPr="00F36398">
                <w:rPr>
                  <w:color w:val="1155CC"/>
                  <w:u w:val="single"/>
                </w:rPr>
                <w:t>FEMP-designated</w:t>
              </w:r>
            </w:hyperlink>
            <w:r w:rsidRPr="00F36398">
              <w:t>*</w:t>
            </w:r>
          </w:p>
        </w:tc>
        <w:tc>
          <w:tcPr>
            <w:tcW w:w="1395" w:type="dxa"/>
            <w:shd w:val="clear" w:color="auto" w:fill="FFFFFF"/>
            <w:tcMar>
              <w:top w:w="140" w:type="dxa"/>
              <w:left w:w="140" w:type="dxa"/>
              <w:bottom w:w="140" w:type="dxa"/>
              <w:right w:w="140" w:type="dxa"/>
            </w:tcMar>
            <w:vAlign w:val="center"/>
          </w:tcPr>
          <w:p w14:paraId="00000009" w14:textId="77777777" w:rsidR="004601E7" w:rsidRPr="00F36398" w:rsidRDefault="00F36398">
            <w:pPr>
              <w:widowControl w:val="0"/>
              <w:spacing w:line="240" w:lineRule="auto"/>
              <w:jc w:val="center"/>
            </w:pPr>
            <w:hyperlink r:id="rId7">
              <w:r w:rsidRPr="00F36398">
                <w:rPr>
                  <w:color w:val="1155CC"/>
                  <w:u w:val="single"/>
                </w:rPr>
                <w:t>DLC</w:t>
              </w:r>
            </w:hyperlink>
            <w:r w:rsidRPr="00F36398">
              <w:t>**</w:t>
            </w:r>
          </w:p>
        </w:tc>
        <w:tc>
          <w:tcPr>
            <w:tcW w:w="1880" w:type="dxa"/>
            <w:shd w:val="clear" w:color="auto" w:fill="FFFFFF"/>
            <w:tcMar>
              <w:top w:w="140" w:type="dxa"/>
              <w:left w:w="140" w:type="dxa"/>
              <w:bottom w:w="140" w:type="dxa"/>
              <w:right w:w="140" w:type="dxa"/>
            </w:tcMar>
            <w:vAlign w:val="center"/>
          </w:tcPr>
          <w:p w14:paraId="0000000A" w14:textId="77777777" w:rsidR="004601E7" w:rsidRPr="00F36398" w:rsidRDefault="00F36398">
            <w:pPr>
              <w:widowControl w:val="0"/>
              <w:spacing w:line="240" w:lineRule="auto"/>
              <w:jc w:val="center"/>
            </w:pPr>
            <w:hyperlink r:id="rId8">
              <w:r w:rsidRPr="00F36398">
                <w:rPr>
                  <w:color w:val="1155CC"/>
                  <w:u w:val="single"/>
                </w:rPr>
                <w:t>DLC Premium</w:t>
              </w:r>
            </w:hyperlink>
            <w:r w:rsidRPr="00F36398">
              <w:t>**</w:t>
            </w:r>
          </w:p>
        </w:tc>
        <w:tc>
          <w:tcPr>
            <w:tcW w:w="1880" w:type="dxa"/>
            <w:shd w:val="clear" w:color="auto" w:fill="FFFFFF"/>
            <w:tcMar>
              <w:top w:w="140" w:type="dxa"/>
              <w:left w:w="140" w:type="dxa"/>
              <w:bottom w:w="140" w:type="dxa"/>
              <w:right w:w="140" w:type="dxa"/>
            </w:tcMar>
            <w:vAlign w:val="center"/>
          </w:tcPr>
          <w:p w14:paraId="0000000B" w14:textId="77777777" w:rsidR="004601E7" w:rsidRPr="00F36398" w:rsidRDefault="00F36398">
            <w:pPr>
              <w:widowControl w:val="0"/>
              <w:spacing w:line="240" w:lineRule="auto"/>
              <w:jc w:val="center"/>
            </w:pPr>
            <w:hyperlink r:id="rId9">
              <w:r w:rsidRPr="00F36398">
                <w:rPr>
                  <w:color w:val="1155CC"/>
                  <w:u w:val="single"/>
                </w:rPr>
                <w:t>ENERGY STAR</w:t>
              </w:r>
            </w:hyperlink>
            <w:r w:rsidRPr="00F36398">
              <w:t>***</w:t>
            </w:r>
          </w:p>
        </w:tc>
      </w:tr>
      <w:tr w:rsidR="004601E7" w:rsidRPr="00F36398" w14:paraId="26FE5D18" w14:textId="77777777">
        <w:tc>
          <w:tcPr>
            <w:tcW w:w="1880" w:type="dxa"/>
            <w:shd w:val="clear" w:color="auto" w:fill="FFFFFF"/>
            <w:tcMar>
              <w:top w:w="140" w:type="dxa"/>
              <w:left w:w="140" w:type="dxa"/>
              <w:bottom w:w="140" w:type="dxa"/>
              <w:right w:w="140" w:type="dxa"/>
            </w:tcMar>
            <w:vAlign w:val="center"/>
          </w:tcPr>
          <w:p w14:paraId="0000000C" w14:textId="77777777" w:rsidR="004601E7" w:rsidRPr="00F36398" w:rsidRDefault="00F36398">
            <w:pPr>
              <w:widowControl w:val="0"/>
              <w:spacing w:line="240" w:lineRule="auto"/>
              <w:jc w:val="center"/>
              <w:rPr>
                <w:b/>
              </w:rPr>
            </w:pPr>
            <w:r w:rsidRPr="00F36398">
              <w:rPr>
                <w:b/>
              </w:rPr>
              <w:t>Minimum Lamp Efficacy</w:t>
            </w:r>
          </w:p>
        </w:tc>
        <w:tc>
          <w:tcPr>
            <w:tcW w:w="2325" w:type="dxa"/>
            <w:shd w:val="clear" w:color="auto" w:fill="FFFFFF"/>
            <w:tcMar>
              <w:top w:w="140" w:type="dxa"/>
              <w:left w:w="140" w:type="dxa"/>
              <w:bottom w:w="140" w:type="dxa"/>
              <w:right w:w="140" w:type="dxa"/>
            </w:tcMar>
            <w:vAlign w:val="center"/>
          </w:tcPr>
          <w:p w14:paraId="0000000D" w14:textId="77777777" w:rsidR="004601E7" w:rsidRPr="00F36398" w:rsidRDefault="00F36398">
            <w:pPr>
              <w:widowControl w:val="0"/>
              <w:spacing w:line="240" w:lineRule="auto"/>
              <w:jc w:val="center"/>
              <w:rPr>
                <w:b/>
              </w:rPr>
            </w:pPr>
            <w:r w:rsidRPr="00F36398">
              <w:rPr>
                <w:rFonts w:ascii="Arial Unicode MS" w:eastAsia="Arial Unicode MS" w:hAnsi="Arial Unicode MS" w:cs="Arial Unicode MS"/>
              </w:rPr>
              <w:t>≥  45-119 Lm/W</w:t>
            </w:r>
          </w:p>
        </w:tc>
        <w:tc>
          <w:tcPr>
            <w:tcW w:w="1395" w:type="dxa"/>
            <w:shd w:val="clear" w:color="auto" w:fill="FFFFFF"/>
            <w:tcMar>
              <w:top w:w="140" w:type="dxa"/>
              <w:left w:w="140" w:type="dxa"/>
              <w:bottom w:w="140" w:type="dxa"/>
              <w:right w:w="140" w:type="dxa"/>
            </w:tcMar>
            <w:vAlign w:val="center"/>
          </w:tcPr>
          <w:p w14:paraId="0000000E" w14:textId="77777777" w:rsidR="004601E7" w:rsidRPr="00F36398" w:rsidRDefault="00F36398">
            <w:pPr>
              <w:widowControl w:val="0"/>
              <w:spacing w:line="240" w:lineRule="auto"/>
              <w:jc w:val="center"/>
              <w:rPr>
                <w:b/>
              </w:rPr>
            </w:pPr>
            <w:r w:rsidRPr="00F36398">
              <w:rPr>
                <w:rFonts w:ascii="Arial Unicode MS" w:eastAsia="Arial Unicode MS" w:hAnsi="Arial Unicode MS" w:cs="Arial Unicode MS"/>
              </w:rPr>
              <w:t>≥  105 Lm/W</w:t>
            </w:r>
          </w:p>
        </w:tc>
        <w:tc>
          <w:tcPr>
            <w:tcW w:w="1880" w:type="dxa"/>
            <w:shd w:val="clear" w:color="auto" w:fill="FFFFFF"/>
            <w:tcMar>
              <w:top w:w="140" w:type="dxa"/>
              <w:left w:w="140" w:type="dxa"/>
              <w:bottom w:w="140" w:type="dxa"/>
              <w:right w:w="140" w:type="dxa"/>
            </w:tcMar>
            <w:vAlign w:val="center"/>
          </w:tcPr>
          <w:p w14:paraId="0000000F" w14:textId="77777777" w:rsidR="004601E7" w:rsidRPr="00F36398" w:rsidRDefault="00F36398">
            <w:pPr>
              <w:widowControl w:val="0"/>
              <w:spacing w:line="240" w:lineRule="auto"/>
              <w:jc w:val="center"/>
              <w:rPr>
                <w:b/>
              </w:rPr>
            </w:pPr>
            <w:r w:rsidRPr="00F36398">
              <w:rPr>
                <w:rFonts w:ascii="Arial Unicode MS" w:eastAsia="Arial Unicode MS" w:hAnsi="Arial Unicode MS" w:cs="Arial Unicode MS"/>
              </w:rPr>
              <w:t>≥ 120 Lm/W</w:t>
            </w:r>
          </w:p>
        </w:tc>
        <w:tc>
          <w:tcPr>
            <w:tcW w:w="1880" w:type="dxa"/>
            <w:shd w:val="clear" w:color="auto" w:fill="FFFFFF"/>
            <w:tcMar>
              <w:top w:w="140" w:type="dxa"/>
              <w:left w:w="140" w:type="dxa"/>
              <w:bottom w:w="140" w:type="dxa"/>
              <w:right w:w="140" w:type="dxa"/>
            </w:tcMar>
            <w:vAlign w:val="center"/>
          </w:tcPr>
          <w:p w14:paraId="00000010" w14:textId="77777777" w:rsidR="004601E7" w:rsidRPr="00F36398" w:rsidRDefault="00F36398">
            <w:pPr>
              <w:widowControl w:val="0"/>
              <w:spacing w:line="240" w:lineRule="auto"/>
              <w:jc w:val="center"/>
            </w:pPr>
            <w:r w:rsidRPr="00F36398">
              <w:rPr>
                <w:rFonts w:ascii="Arial Unicode MS" w:eastAsia="Arial Unicode MS" w:hAnsi="Arial Unicode MS" w:cs="Arial Unicode MS"/>
              </w:rPr>
              <w:t>≥ 60 Lm/W</w:t>
            </w:r>
          </w:p>
        </w:tc>
      </w:tr>
    </w:tbl>
    <w:p w14:paraId="00000011" w14:textId="77777777" w:rsidR="004601E7" w:rsidRPr="00F36398" w:rsidRDefault="004601E7">
      <w:pPr>
        <w:widowControl w:val="0"/>
        <w:spacing w:line="240" w:lineRule="auto"/>
        <w:rPr>
          <w:sz w:val="12"/>
          <w:szCs w:val="12"/>
        </w:rPr>
      </w:pPr>
    </w:p>
    <w:p w14:paraId="00000012" w14:textId="77777777" w:rsidR="004601E7" w:rsidRPr="00F36398" w:rsidRDefault="00F36398">
      <w:pPr>
        <w:widowControl w:val="0"/>
        <w:spacing w:line="240" w:lineRule="auto"/>
        <w:rPr>
          <w:i/>
          <w:sz w:val="20"/>
          <w:szCs w:val="20"/>
        </w:rPr>
      </w:pPr>
      <w:r w:rsidRPr="00F36398">
        <w:rPr>
          <w:sz w:val="20"/>
          <w:szCs w:val="20"/>
        </w:rPr>
        <w:t xml:space="preserve">*Category is </w:t>
      </w:r>
      <w:r w:rsidRPr="00F36398">
        <w:rPr>
          <w:i/>
          <w:sz w:val="20"/>
          <w:szCs w:val="20"/>
        </w:rPr>
        <w:t>Exterior Lighting - Bollards to Outdoor pole/arm-mounted area and roadway luminaires</w:t>
      </w:r>
    </w:p>
    <w:p w14:paraId="00000013" w14:textId="77777777" w:rsidR="004601E7" w:rsidRPr="00F36398" w:rsidRDefault="00F36398">
      <w:pPr>
        <w:widowControl w:val="0"/>
        <w:spacing w:line="240" w:lineRule="auto"/>
        <w:rPr>
          <w:i/>
          <w:sz w:val="20"/>
          <w:szCs w:val="20"/>
        </w:rPr>
      </w:pPr>
      <w:r w:rsidRPr="00F36398">
        <w:rPr>
          <w:sz w:val="20"/>
          <w:szCs w:val="20"/>
        </w:rPr>
        <w:t>**Category is</w:t>
      </w:r>
      <w:r w:rsidRPr="00F36398">
        <w:rPr>
          <w:i/>
          <w:sz w:val="20"/>
          <w:szCs w:val="20"/>
        </w:rPr>
        <w:t xml:space="preserve"> Low Output (250-5,000 lm)</w:t>
      </w:r>
    </w:p>
    <w:p w14:paraId="00000014" w14:textId="77777777" w:rsidR="004601E7" w:rsidRPr="00F36398" w:rsidRDefault="00F36398">
      <w:pPr>
        <w:widowControl w:val="0"/>
        <w:spacing w:line="240" w:lineRule="auto"/>
        <w:rPr>
          <w:sz w:val="20"/>
          <w:szCs w:val="20"/>
        </w:rPr>
      </w:pPr>
      <w:r w:rsidRPr="00F36398">
        <w:rPr>
          <w:sz w:val="20"/>
          <w:szCs w:val="20"/>
        </w:rPr>
        <w:t xml:space="preserve">***Category is </w:t>
      </w:r>
      <w:r w:rsidRPr="00F36398">
        <w:rPr>
          <w:i/>
          <w:sz w:val="20"/>
          <w:szCs w:val="20"/>
        </w:rPr>
        <w:t>Outdoor, Wall- ,Porch- ,Prendant- , Post-Mounted and Security Luminaires</w:t>
      </w:r>
    </w:p>
    <w:p w14:paraId="00000015" w14:textId="77777777" w:rsidR="004601E7" w:rsidRPr="00F36398" w:rsidRDefault="004601E7">
      <w:pPr>
        <w:rPr>
          <w:sz w:val="26"/>
          <w:szCs w:val="26"/>
        </w:rPr>
      </w:pPr>
    </w:p>
    <w:p w14:paraId="00000016" w14:textId="77777777" w:rsidR="004601E7" w:rsidRPr="00F36398" w:rsidRDefault="00F36398">
      <w:pPr>
        <w:rPr>
          <w:b/>
          <w:sz w:val="26"/>
          <w:szCs w:val="26"/>
        </w:rPr>
      </w:pPr>
      <w:r w:rsidRPr="00F36398">
        <w:rPr>
          <w:b/>
          <w:sz w:val="26"/>
          <w:szCs w:val="26"/>
        </w:rPr>
        <w:t>Cut-and-Paste Acquisition Language</w:t>
      </w:r>
      <w:r w:rsidRPr="00F36398">
        <w:rPr>
          <w:b/>
          <w:sz w:val="26"/>
          <w:szCs w:val="26"/>
        </w:rPr>
        <w:t xml:space="preserve"> for Outdoor Lighting [Product Solicitation]</w:t>
      </w:r>
    </w:p>
    <w:p w14:paraId="00000017" w14:textId="77777777" w:rsidR="004601E7" w:rsidRPr="00F36398" w:rsidRDefault="004601E7">
      <w:pPr>
        <w:rPr>
          <w:b/>
        </w:rPr>
      </w:pPr>
    </w:p>
    <w:p w14:paraId="00000018" w14:textId="77777777" w:rsidR="004601E7" w:rsidRPr="00F36398" w:rsidRDefault="00F36398">
      <w:r w:rsidRPr="00F36398">
        <w:rPr>
          <w:b/>
        </w:rPr>
        <w:t>Statement of Work</w:t>
      </w:r>
      <w:r w:rsidRPr="00F36398">
        <w:rPr>
          <w:b/>
        </w:rPr>
        <w:tab/>
      </w:r>
      <w:r w:rsidRPr="00F36398">
        <w:rPr>
          <w:b/>
          <w:sz w:val="20"/>
          <w:szCs w:val="20"/>
        </w:rPr>
        <w:t>[</w:t>
      </w:r>
      <w:r w:rsidRPr="00F36398">
        <w:rPr>
          <w:b/>
          <w:i/>
          <w:sz w:val="20"/>
          <w:szCs w:val="20"/>
        </w:rPr>
        <w:t>Include in solicitation AND contract language</w:t>
      </w:r>
      <w:r w:rsidRPr="00F36398">
        <w:rPr>
          <w:b/>
          <w:sz w:val="20"/>
          <w:szCs w:val="20"/>
        </w:rPr>
        <w:t>]</w:t>
      </w:r>
    </w:p>
    <w:p w14:paraId="00000019" w14:textId="77777777" w:rsidR="004601E7" w:rsidRPr="00F36398" w:rsidRDefault="00F36398">
      <w:r w:rsidRPr="00F36398">
        <w:t>According to [</w:t>
      </w:r>
      <w:r w:rsidRPr="00F36398">
        <w:rPr>
          <w:i/>
        </w:rPr>
        <w:t>your organization’s</w:t>
      </w:r>
      <w:r w:rsidRPr="00F36398">
        <w:t>] g</w:t>
      </w:r>
      <w:r w:rsidRPr="00F36398">
        <w:t>oals to optimize energy performance at [</w:t>
      </w:r>
      <w:r w:rsidRPr="00F36398">
        <w:rPr>
          <w:i/>
        </w:rPr>
        <w:t>your site</w:t>
      </w:r>
      <w:r w:rsidRPr="00F36398">
        <w:t xml:space="preserve">], the Vendor shall ensure that all outdoor lighting products supplied meet or exceed </w:t>
      </w:r>
      <w:hyperlink r:id="rId10">
        <w:r w:rsidRPr="00F36398">
          <w:rPr>
            <w:color w:val="1155CC"/>
            <w:u w:val="single"/>
          </w:rPr>
          <w:t>DLC Premium</w:t>
        </w:r>
      </w:hyperlink>
      <w:r w:rsidRPr="00F36398">
        <w:t xml:space="preserve"> qualifications. </w:t>
      </w:r>
    </w:p>
    <w:p w14:paraId="0000001A" w14:textId="77777777" w:rsidR="004601E7" w:rsidRPr="00F36398" w:rsidRDefault="004601E7">
      <w:pPr>
        <w:ind w:left="1440"/>
      </w:pPr>
    </w:p>
    <w:p w14:paraId="0000001B" w14:textId="77777777" w:rsidR="004601E7" w:rsidRPr="00F36398" w:rsidRDefault="00F36398">
      <w:r w:rsidRPr="00F36398">
        <w:rPr>
          <w:b/>
        </w:rPr>
        <w:t>Technical Specifications</w:t>
      </w:r>
      <w:r w:rsidRPr="00F36398">
        <w:rPr>
          <w:b/>
        </w:rPr>
        <w:tab/>
      </w:r>
      <w:r w:rsidRPr="00F36398">
        <w:rPr>
          <w:b/>
          <w:sz w:val="20"/>
          <w:szCs w:val="20"/>
        </w:rPr>
        <w:t>[</w:t>
      </w:r>
      <w:r w:rsidRPr="00F36398">
        <w:rPr>
          <w:b/>
          <w:i/>
          <w:sz w:val="20"/>
          <w:szCs w:val="20"/>
        </w:rPr>
        <w:t>Include i</w:t>
      </w:r>
      <w:r w:rsidRPr="00F36398">
        <w:rPr>
          <w:b/>
          <w:i/>
          <w:sz w:val="20"/>
          <w:szCs w:val="20"/>
        </w:rPr>
        <w:t>n solicitation AND contract language</w:t>
      </w:r>
      <w:r w:rsidRPr="00F36398">
        <w:rPr>
          <w:b/>
          <w:sz w:val="20"/>
          <w:szCs w:val="20"/>
        </w:rPr>
        <w:t>]</w:t>
      </w:r>
    </w:p>
    <w:p w14:paraId="0000001C" w14:textId="77777777" w:rsidR="004601E7" w:rsidRPr="00F36398" w:rsidRDefault="00F36398">
      <w:r w:rsidRPr="00F36398">
        <w:t>The Vendor shall supply outdoor lighting products that meet or exceed DLC Premium standards</w:t>
      </w:r>
      <w:r w:rsidRPr="00F36398">
        <w:t xml:space="preserve">. Search for DLC Premium outdoor lighting products on the DLC Qualified Products List (make sure to filter out the ‘Classification’ as DLC Premium): </w:t>
      </w:r>
      <w:hyperlink r:id="rId11">
        <w:r w:rsidRPr="00F36398">
          <w:rPr>
            <w:color w:val="1155CC"/>
            <w:u w:val="single"/>
          </w:rPr>
          <w:t>https://www.designlights.org/search/</w:t>
        </w:r>
      </w:hyperlink>
      <w:r w:rsidRPr="00F36398">
        <w:t xml:space="preserve">. </w:t>
      </w:r>
    </w:p>
    <w:p w14:paraId="0000001D" w14:textId="77777777" w:rsidR="004601E7" w:rsidRPr="00F36398" w:rsidRDefault="004601E7"/>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601E7" w:rsidRPr="00F36398" w14:paraId="0746320C"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000001E" w14:textId="77777777" w:rsidR="004601E7" w:rsidRPr="00F36398" w:rsidRDefault="00F36398">
            <w:pPr>
              <w:widowControl w:val="0"/>
              <w:pBdr>
                <w:top w:val="nil"/>
                <w:left w:val="nil"/>
                <w:bottom w:val="nil"/>
                <w:right w:val="nil"/>
                <w:between w:val="nil"/>
              </w:pBdr>
              <w:spacing w:line="240" w:lineRule="auto"/>
              <w:jc w:val="center"/>
              <w:rPr>
                <w:b/>
              </w:rPr>
            </w:pPr>
            <w:r w:rsidRPr="00F36398">
              <w:rPr>
                <w:b/>
              </w:rPr>
              <w:t>V5.1 Effica</w:t>
            </w:r>
            <w:r w:rsidRPr="00F36398">
              <w:rPr>
                <w:b/>
              </w:rPr>
              <w:t>cy Requirements for Luminaires and Retrofit Kits [ DLC Premium Classifications]</w:t>
            </w:r>
          </w:p>
        </w:tc>
      </w:tr>
      <w:tr w:rsidR="004601E7" w:rsidRPr="00F36398" w14:paraId="2AFA9F0C" w14:textId="77777777">
        <w:trPr>
          <w:jc w:val="center"/>
        </w:trPr>
        <w:tc>
          <w:tcPr>
            <w:tcW w:w="4680" w:type="dxa"/>
            <w:shd w:val="clear" w:color="auto" w:fill="auto"/>
            <w:tcMar>
              <w:top w:w="100" w:type="dxa"/>
              <w:left w:w="100" w:type="dxa"/>
              <w:bottom w:w="100" w:type="dxa"/>
              <w:right w:w="100" w:type="dxa"/>
            </w:tcMar>
            <w:vAlign w:val="center"/>
          </w:tcPr>
          <w:p w14:paraId="00000020" w14:textId="77777777" w:rsidR="004601E7" w:rsidRPr="00F36398" w:rsidRDefault="00F36398">
            <w:pPr>
              <w:widowControl w:val="0"/>
              <w:pBdr>
                <w:top w:val="nil"/>
                <w:left w:val="nil"/>
                <w:bottom w:val="nil"/>
                <w:right w:val="nil"/>
                <w:between w:val="nil"/>
              </w:pBdr>
              <w:spacing w:line="240" w:lineRule="auto"/>
              <w:jc w:val="center"/>
              <w:rPr>
                <w:b/>
              </w:rPr>
            </w:pPr>
            <w:r w:rsidRPr="00F36398">
              <w:rPr>
                <w:b/>
              </w:rPr>
              <w:t>Category</w:t>
            </w:r>
          </w:p>
        </w:tc>
        <w:tc>
          <w:tcPr>
            <w:tcW w:w="4680" w:type="dxa"/>
            <w:shd w:val="clear" w:color="auto" w:fill="auto"/>
            <w:tcMar>
              <w:top w:w="100" w:type="dxa"/>
              <w:left w:w="100" w:type="dxa"/>
              <w:bottom w:w="100" w:type="dxa"/>
              <w:right w:w="100" w:type="dxa"/>
            </w:tcMar>
            <w:vAlign w:val="center"/>
          </w:tcPr>
          <w:p w14:paraId="00000021" w14:textId="77777777" w:rsidR="004601E7" w:rsidRPr="00F36398" w:rsidRDefault="00F36398">
            <w:pPr>
              <w:widowControl w:val="0"/>
              <w:pBdr>
                <w:top w:val="nil"/>
                <w:left w:val="nil"/>
                <w:bottom w:val="nil"/>
                <w:right w:val="nil"/>
                <w:between w:val="nil"/>
              </w:pBdr>
              <w:spacing w:line="240" w:lineRule="auto"/>
              <w:jc w:val="center"/>
              <w:rPr>
                <w:b/>
              </w:rPr>
            </w:pPr>
            <w:r w:rsidRPr="00F36398">
              <w:rPr>
                <w:b/>
              </w:rPr>
              <w:t>DLC Premium Minimum Efficacy (lm/W)</w:t>
            </w:r>
          </w:p>
        </w:tc>
      </w:tr>
      <w:tr w:rsidR="004601E7" w:rsidRPr="00F36398" w14:paraId="6BB45B09" w14:textId="77777777">
        <w:trPr>
          <w:jc w:val="center"/>
        </w:trPr>
        <w:tc>
          <w:tcPr>
            <w:tcW w:w="4680" w:type="dxa"/>
            <w:shd w:val="clear" w:color="auto" w:fill="auto"/>
            <w:tcMar>
              <w:top w:w="100" w:type="dxa"/>
              <w:left w:w="100" w:type="dxa"/>
              <w:bottom w:w="100" w:type="dxa"/>
              <w:right w:w="100" w:type="dxa"/>
            </w:tcMar>
            <w:vAlign w:val="center"/>
          </w:tcPr>
          <w:p w14:paraId="00000022" w14:textId="77777777" w:rsidR="004601E7" w:rsidRPr="00F36398" w:rsidRDefault="00F36398">
            <w:pPr>
              <w:widowControl w:val="0"/>
              <w:pBdr>
                <w:top w:val="nil"/>
                <w:left w:val="nil"/>
                <w:bottom w:val="nil"/>
                <w:right w:val="nil"/>
                <w:between w:val="nil"/>
              </w:pBdr>
              <w:spacing w:line="240" w:lineRule="auto"/>
              <w:jc w:val="center"/>
            </w:pPr>
            <w:r w:rsidRPr="00F36398">
              <w:t>Outdoor Luminaires</w:t>
            </w:r>
          </w:p>
        </w:tc>
        <w:tc>
          <w:tcPr>
            <w:tcW w:w="4680" w:type="dxa"/>
            <w:shd w:val="clear" w:color="auto" w:fill="auto"/>
            <w:tcMar>
              <w:top w:w="100" w:type="dxa"/>
              <w:left w:w="100" w:type="dxa"/>
              <w:bottom w:w="100" w:type="dxa"/>
              <w:right w:w="100" w:type="dxa"/>
            </w:tcMar>
            <w:vAlign w:val="center"/>
          </w:tcPr>
          <w:p w14:paraId="00000023" w14:textId="77777777" w:rsidR="004601E7" w:rsidRPr="00F36398" w:rsidRDefault="00F36398">
            <w:pPr>
              <w:widowControl w:val="0"/>
              <w:pBdr>
                <w:top w:val="nil"/>
                <w:left w:val="nil"/>
                <w:bottom w:val="nil"/>
                <w:right w:val="nil"/>
                <w:between w:val="nil"/>
              </w:pBdr>
              <w:spacing w:line="240" w:lineRule="auto"/>
              <w:jc w:val="center"/>
            </w:pPr>
            <w:r w:rsidRPr="00F36398">
              <w:t>120</w:t>
            </w:r>
          </w:p>
        </w:tc>
      </w:tr>
      <w:tr w:rsidR="004601E7" w:rsidRPr="00F36398" w14:paraId="011553A5" w14:textId="77777777">
        <w:trPr>
          <w:jc w:val="center"/>
        </w:trPr>
        <w:tc>
          <w:tcPr>
            <w:tcW w:w="4680" w:type="dxa"/>
            <w:shd w:val="clear" w:color="auto" w:fill="auto"/>
            <w:tcMar>
              <w:top w:w="100" w:type="dxa"/>
              <w:left w:w="100" w:type="dxa"/>
              <w:bottom w:w="100" w:type="dxa"/>
              <w:right w:w="100" w:type="dxa"/>
            </w:tcMar>
            <w:vAlign w:val="center"/>
          </w:tcPr>
          <w:p w14:paraId="00000024" w14:textId="77777777" w:rsidR="004601E7" w:rsidRPr="00F36398" w:rsidRDefault="00F36398">
            <w:pPr>
              <w:widowControl w:val="0"/>
              <w:pBdr>
                <w:top w:val="nil"/>
                <w:left w:val="nil"/>
                <w:bottom w:val="nil"/>
                <w:right w:val="nil"/>
                <w:between w:val="nil"/>
              </w:pBdr>
              <w:spacing w:line="240" w:lineRule="auto"/>
              <w:jc w:val="center"/>
            </w:pPr>
            <w:r w:rsidRPr="00F36398">
              <w:lastRenderedPageBreak/>
              <w:t>Outdoor Retrofit Kits</w:t>
            </w:r>
          </w:p>
        </w:tc>
        <w:tc>
          <w:tcPr>
            <w:tcW w:w="4680" w:type="dxa"/>
            <w:shd w:val="clear" w:color="auto" w:fill="auto"/>
            <w:tcMar>
              <w:top w:w="100" w:type="dxa"/>
              <w:left w:w="100" w:type="dxa"/>
              <w:bottom w:w="100" w:type="dxa"/>
              <w:right w:w="100" w:type="dxa"/>
            </w:tcMar>
            <w:vAlign w:val="center"/>
          </w:tcPr>
          <w:p w14:paraId="00000025" w14:textId="77777777" w:rsidR="004601E7" w:rsidRPr="00F36398" w:rsidRDefault="00F36398">
            <w:pPr>
              <w:widowControl w:val="0"/>
              <w:pBdr>
                <w:top w:val="nil"/>
                <w:left w:val="nil"/>
                <w:bottom w:val="nil"/>
                <w:right w:val="nil"/>
                <w:between w:val="nil"/>
              </w:pBdr>
              <w:spacing w:line="240" w:lineRule="auto"/>
              <w:jc w:val="center"/>
            </w:pPr>
            <w:r w:rsidRPr="00F36398">
              <w:t>120</w:t>
            </w:r>
          </w:p>
        </w:tc>
      </w:tr>
    </w:tbl>
    <w:p w14:paraId="00000026" w14:textId="77777777" w:rsidR="004601E7" w:rsidRPr="00F36398" w:rsidRDefault="004601E7">
      <w:pPr>
        <w:rPr>
          <w:sz w:val="12"/>
          <w:szCs w:val="12"/>
        </w:rPr>
      </w:pPr>
    </w:p>
    <w:p w14:paraId="00000027" w14:textId="77777777" w:rsidR="004601E7" w:rsidRPr="00F36398" w:rsidRDefault="00F36398">
      <w:pPr>
        <w:rPr>
          <w:sz w:val="18"/>
          <w:szCs w:val="18"/>
        </w:rPr>
      </w:pPr>
      <w:r w:rsidRPr="00F36398">
        <w:rPr>
          <w:sz w:val="18"/>
          <w:szCs w:val="18"/>
        </w:rPr>
        <w:t xml:space="preserve">Source: </w:t>
      </w:r>
      <w:hyperlink r:id="rId12">
        <w:r w:rsidRPr="00F36398">
          <w:rPr>
            <w:color w:val="1155CC"/>
            <w:sz w:val="18"/>
            <w:szCs w:val="18"/>
            <w:u w:val="single"/>
          </w:rPr>
          <w:t>https://www.designlights.org/solid-state-lighting/qualification-requirements/technical-requirements-v5-1/</w:t>
        </w:r>
      </w:hyperlink>
      <w:r w:rsidRPr="00F36398">
        <w:rPr>
          <w:sz w:val="18"/>
          <w:szCs w:val="18"/>
        </w:rPr>
        <w:t xml:space="preserve"> </w:t>
      </w:r>
    </w:p>
    <w:p w14:paraId="00000028" w14:textId="77777777" w:rsidR="004601E7" w:rsidRPr="00F36398" w:rsidRDefault="004601E7"/>
    <w:p w14:paraId="00000029" w14:textId="77777777" w:rsidR="004601E7" w:rsidRPr="00F36398" w:rsidRDefault="00F36398">
      <w:r w:rsidRPr="00F36398">
        <w:t>Products that do not meet</w:t>
      </w:r>
      <w:r w:rsidRPr="00F36398">
        <w:t xml:space="preserve"> or exceed DLC Premium standards </w:t>
      </w:r>
      <w:r w:rsidRPr="00F36398">
        <w:rPr>
          <w:b/>
          <w:u w:val="single"/>
        </w:rPr>
        <w:t>will not</w:t>
      </w:r>
      <w:r w:rsidRPr="00F36398">
        <w:t xml:space="preserve"> be considered for the bid. </w:t>
      </w:r>
    </w:p>
    <w:p w14:paraId="0000002A" w14:textId="77777777" w:rsidR="004601E7" w:rsidRPr="00F36398" w:rsidRDefault="004601E7"/>
    <w:p w14:paraId="0000002B" w14:textId="77777777" w:rsidR="004601E7" w:rsidRPr="00F36398" w:rsidRDefault="00F36398">
      <w:pPr>
        <w:rPr>
          <w:b/>
        </w:rPr>
      </w:pPr>
      <w:r w:rsidRPr="00F36398">
        <w:rPr>
          <w:b/>
        </w:rPr>
        <w:t>Document</w:t>
      </w:r>
      <w:r w:rsidRPr="00F36398">
        <w:rPr>
          <w:b/>
        </w:rPr>
        <w:t xml:space="preserve"> Requirements</w:t>
      </w:r>
      <w:r w:rsidRPr="00F36398">
        <w:rPr>
          <w:b/>
        </w:rPr>
        <w:tab/>
      </w:r>
      <w:r w:rsidRPr="00F36398">
        <w:rPr>
          <w:b/>
          <w:sz w:val="20"/>
          <w:szCs w:val="20"/>
        </w:rPr>
        <w:t>[</w:t>
      </w:r>
      <w:r w:rsidRPr="00F36398">
        <w:rPr>
          <w:b/>
          <w:i/>
          <w:sz w:val="20"/>
          <w:szCs w:val="20"/>
        </w:rPr>
        <w:t>Include in solicitation AND contract language</w:t>
      </w:r>
      <w:r w:rsidRPr="00F36398">
        <w:rPr>
          <w:b/>
          <w:sz w:val="20"/>
          <w:szCs w:val="20"/>
        </w:rPr>
        <w:t>]</w:t>
      </w:r>
    </w:p>
    <w:p w14:paraId="0000002C" w14:textId="77777777" w:rsidR="004601E7" w:rsidRPr="00F36398" w:rsidRDefault="00F36398">
      <w:pPr>
        <w:rPr>
          <w:sz w:val="18"/>
          <w:szCs w:val="18"/>
        </w:rPr>
      </w:pPr>
      <w:r w:rsidRPr="00F36398">
        <w:t xml:space="preserve">The Vendor shall submit manufacturer cut sheets for each model of outdoor lighting product supplied indicating an energy efficiency rating that meets or exceeds </w:t>
      </w:r>
      <w:hyperlink r:id="rId13">
        <w:r w:rsidRPr="00F36398">
          <w:rPr>
            <w:color w:val="1155CC"/>
            <w:u w:val="single"/>
          </w:rPr>
          <w:t>DLC Premium</w:t>
        </w:r>
      </w:hyperlink>
      <w:r w:rsidRPr="00F36398">
        <w:t xml:space="preserve"> qualifications.</w:t>
      </w:r>
      <w:r w:rsidRPr="00F36398">
        <w:rPr>
          <w:sz w:val="18"/>
          <w:szCs w:val="18"/>
        </w:rPr>
        <w:t>*</w:t>
      </w:r>
    </w:p>
    <w:p w14:paraId="0000002D" w14:textId="77777777" w:rsidR="004601E7" w:rsidRPr="00F36398" w:rsidRDefault="004601E7"/>
    <w:p w14:paraId="0000002E" w14:textId="77777777" w:rsidR="004601E7" w:rsidRPr="00F36398" w:rsidRDefault="00F36398">
      <w:r w:rsidRPr="00F36398">
        <w:rPr>
          <w:sz w:val="18"/>
          <w:szCs w:val="18"/>
        </w:rPr>
        <w:t xml:space="preserve">*If your </w:t>
      </w:r>
      <w:r w:rsidRPr="00F36398">
        <w:rPr>
          <w:sz w:val="18"/>
          <w:szCs w:val="18"/>
        </w:rPr>
        <w:t xml:space="preserve">product meets or exceeds DLC Premium standards, but is </w:t>
      </w:r>
      <w:r w:rsidRPr="00F36398">
        <w:rPr>
          <w:sz w:val="18"/>
          <w:szCs w:val="18"/>
          <w:u w:val="single"/>
        </w:rPr>
        <w:t>not</w:t>
      </w:r>
      <w:r w:rsidRPr="00F36398">
        <w:rPr>
          <w:sz w:val="18"/>
          <w:szCs w:val="18"/>
        </w:rPr>
        <w:t xml:space="preserve"> officially listed as DLC Premium, please also submit a third-party testing result indicating how your product meets the prescribed energy efficiency requirement. </w:t>
      </w:r>
      <w:r w:rsidRPr="00F36398">
        <w:t xml:space="preserve">  </w:t>
      </w:r>
    </w:p>
    <w:p w14:paraId="0000002F" w14:textId="77777777" w:rsidR="004601E7" w:rsidRPr="00F36398" w:rsidRDefault="004601E7"/>
    <w:p w14:paraId="00000030" w14:textId="77777777" w:rsidR="004601E7" w:rsidRPr="00F36398" w:rsidRDefault="00F36398">
      <w:pPr>
        <w:rPr>
          <w:b/>
        </w:rPr>
      </w:pPr>
      <w:r w:rsidRPr="00F36398">
        <w:rPr>
          <w:b/>
        </w:rPr>
        <w:t>Evaluation Criteria</w:t>
      </w:r>
    </w:p>
    <w:p w14:paraId="00000031" w14:textId="77777777" w:rsidR="004601E7" w:rsidRPr="00F36398" w:rsidRDefault="00F36398">
      <w:r w:rsidRPr="00F36398">
        <w:t>[</w:t>
      </w:r>
      <w:r w:rsidRPr="00F36398">
        <w:rPr>
          <w:i/>
        </w:rPr>
        <w:t>Option 1</w:t>
      </w:r>
      <w:r w:rsidRPr="00F36398">
        <w:t xml:space="preserve">] </w:t>
      </w:r>
      <w:r w:rsidRPr="00F36398">
        <w:t xml:space="preserve">The Vendor will be evaluated based on the Vendor’s ability to verify that all outdoor lighting products supplied meet or exceed </w:t>
      </w:r>
      <w:hyperlink r:id="rId14">
        <w:r w:rsidRPr="00F36398">
          <w:rPr>
            <w:color w:val="1155CC"/>
            <w:u w:val="single"/>
          </w:rPr>
          <w:t>DLC Premium</w:t>
        </w:r>
      </w:hyperlink>
      <w:r w:rsidRPr="00F36398">
        <w:t xml:space="preserve"> qualifications. </w:t>
      </w:r>
    </w:p>
    <w:p w14:paraId="00000032" w14:textId="77777777" w:rsidR="004601E7" w:rsidRPr="00F36398" w:rsidRDefault="004601E7"/>
    <w:p w14:paraId="00000033" w14:textId="77777777" w:rsidR="004601E7" w:rsidRPr="00F36398" w:rsidRDefault="00F36398">
      <w:r w:rsidRPr="00F36398">
        <w:t>[</w:t>
      </w:r>
      <w:r w:rsidRPr="00F36398">
        <w:rPr>
          <w:i/>
        </w:rPr>
        <w:t>Option 2</w:t>
      </w:r>
      <w:r w:rsidRPr="00F36398">
        <w:t>] The Vendor will be evaluated ba</w:t>
      </w:r>
      <w:r w:rsidRPr="00F36398">
        <w:t xml:space="preserve">sed on Best Value as assessed through life cycle cost analysis. Vendors are required to provide the cost for each product using the life cycle cost formula below: </w:t>
      </w:r>
    </w:p>
    <w:p w14:paraId="00000034" w14:textId="77777777" w:rsidR="004601E7" w:rsidRPr="00F36398" w:rsidRDefault="004601E7"/>
    <w:p w14:paraId="00000035" w14:textId="77777777" w:rsidR="004601E7" w:rsidRPr="00F36398" w:rsidRDefault="00F36398">
      <w:r w:rsidRPr="00F36398">
        <w:rPr>
          <w:rFonts w:ascii="Arial Unicode MS" w:eastAsia="Arial Unicode MS" w:hAnsi="Arial Unicode MS" w:cs="Arial Unicode MS"/>
        </w:rPr>
        <w:t>LCC =  I + Repl − Res + E + W + OMR + X</w:t>
      </w:r>
    </w:p>
    <w:p w14:paraId="00000036" w14:textId="77777777" w:rsidR="004601E7" w:rsidRPr="00F36398" w:rsidRDefault="00F36398">
      <w:r w:rsidRPr="00F36398">
        <w:t>where:</w:t>
      </w:r>
    </w:p>
    <w:p w14:paraId="00000037" w14:textId="77777777" w:rsidR="004601E7" w:rsidRPr="00F36398" w:rsidRDefault="00F36398">
      <w:pPr>
        <w:ind w:firstLine="720"/>
      </w:pPr>
      <w:r w:rsidRPr="00F36398">
        <w:t xml:space="preserve">LCC = Total LCC in present-value dollars of </w:t>
      </w:r>
      <w:r w:rsidRPr="00F36398">
        <w:t>a given alternative</w:t>
      </w:r>
    </w:p>
    <w:p w14:paraId="00000038" w14:textId="77777777" w:rsidR="004601E7" w:rsidRPr="00F36398" w:rsidRDefault="00F36398">
      <w:pPr>
        <w:ind w:firstLine="720"/>
      </w:pPr>
      <w:r w:rsidRPr="00F36398">
        <w:t>I = Present-value investment costs</w:t>
      </w:r>
    </w:p>
    <w:p w14:paraId="00000039" w14:textId="77777777" w:rsidR="004601E7" w:rsidRPr="00F36398" w:rsidRDefault="00F36398">
      <w:pPr>
        <w:ind w:firstLine="720"/>
      </w:pPr>
      <w:r w:rsidRPr="00F36398">
        <w:t>Repl = Present-value capital replacement costs</w:t>
      </w:r>
    </w:p>
    <w:p w14:paraId="0000003A" w14:textId="77777777" w:rsidR="004601E7" w:rsidRPr="00F36398" w:rsidRDefault="00F36398">
      <w:pPr>
        <w:ind w:left="720"/>
      </w:pPr>
      <w:r w:rsidRPr="00F36398">
        <w:t>Res = Present-value residual value (resale value, scrap value, salvage value) less disposal costs</w:t>
      </w:r>
    </w:p>
    <w:p w14:paraId="0000003B" w14:textId="77777777" w:rsidR="004601E7" w:rsidRPr="00F36398" w:rsidRDefault="00F36398">
      <w:pPr>
        <w:ind w:left="720"/>
      </w:pPr>
      <w:r w:rsidRPr="00F36398">
        <w:t>E = Present-value energy costs</w:t>
      </w:r>
    </w:p>
    <w:p w14:paraId="0000003C" w14:textId="77777777" w:rsidR="004601E7" w:rsidRPr="00F36398" w:rsidRDefault="00F36398">
      <w:pPr>
        <w:ind w:firstLine="720"/>
      </w:pPr>
      <w:r w:rsidRPr="00F36398">
        <w:t>W = Present-value water costs</w:t>
      </w:r>
    </w:p>
    <w:p w14:paraId="0000003D" w14:textId="77777777" w:rsidR="004601E7" w:rsidRPr="00F36398" w:rsidRDefault="00F36398">
      <w:pPr>
        <w:ind w:firstLine="720"/>
      </w:pPr>
      <w:r w:rsidRPr="00F36398">
        <w:t>OMR = Present-value non-fuel operating, maintenance, and repair costs</w:t>
      </w:r>
    </w:p>
    <w:p w14:paraId="0000003E" w14:textId="77777777" w:rsidR="004601E7" w:rsidRPr="00F36398" w:rsidRDefault="00F36398">
      <w:pPr>
        <w:ind w:firstLine="720"/>
      </w:pPr>
      <w:r w:rsidRPr="00F36398">
        <w:t>X = Present-value other cos</w:t>
      </w:r>
      <w:r w:rsidRPr="00F36398">
        <w:t>ts (benefits treated as negative costs)</w:t>
      </w:r>
    </w:p>
    <w:p w14:paraId="0000003F" w14:textId="77777777" w:rsidR="004601E7" w:rsidRPr="00F36398" w:rsidRDefault="004601E7"/>
    <w:p w14:paraId="00000040" w14:textId="77777777" w:rsidR="004601E7" w:rsidRPr="00F36398" w:rsidRDefault="00F36398">
      <w:r w:rsidRPr="00F36398">
        <w:t xml:space="preserve">For more information on how to calculate life cycle cost, refer to </w:t>
      </w:r>
      <w:hyperlink r:id="rId15">
        <w:r w:rsidRPr="00F36398">
          <w:rPr>
            <w:color w:val="1155CC"/>
            <w:u w:val="single"/>
          </w:rPr>
          <w:t>https://nvlpubs.nist.gov/nistpubs/hb/2020/NIST.HB.135-2020.pdf</w:t>
        </w:r>
      </w:hyperlink>
      <w:r w:rsidRPr="00F36398">
        <w:t xml:space="preserve"> </w:t>
      </w:r>
    </w:p>
    <w:p w14:paraId="00000041" w14:textId="77777777" w:rsidR="004601E7" w:rsidRPr="00F36398" w:rsidRDefault="004601E7"/>
    <w:p w14:paraId="00000042" w14:textId="77777777" w:rsidR="004601E7" w:rsidRPr="00F36398" w:rsidRDefault="00F36398">
      <w:pPr>
        <w:rPr>
          <w:b/>
          <w:sz w:val="20"/>
          <w:szCs w:val="20"/>
        </w:rPr>
      </w:pPr>
      <w:r w:rsidRPr="00F36398">
        <w:rPr>
          <w:b/>
        </w:rPr>
        <w:t>R</w:t>
      </w:r>
      <w:r w:rsidRPr="00F36398">
        <w:rPr>
          <w:b/>
        </w:rPr>
        <w:t>eporting</w:t>
      </w:r>
      <w:r w:rsidRPr="00F36398">
        <w:t xml:space="preserve"> </w:t>
      </w:r>
      <w:r w:rsidRPr="00F36398">
        <w:tab/>
      </w:r>
      <w:r w:rsidRPr="00F36398">
        <w:rPr>
          <w:b/>
          <w:sz w:val="20"/>
          <w:szCs w:val="20"/>
        </w:rPr>
        <w:t>[</w:t>
      </w:r>
      <w:r w:rsidRPr="00F36398">
        <w:rPr>
          <w:b/>
          <w:i/>
          <w:sz w:val="20"/>
          <w:szCs w:val="20"/>
        </w:rPr>
        <w:t>Optional - For recurring purchases/indefinite delivery/blanket purchase orders</w:t>
      </w:r>
      <w:r w:rsidRPr="00F36398">
        <w:rPr>
          <w:b/>
          <w:sz w:val="20"/>
          <w:szCs w:val="20"/>
        </w:rPr>
        <w:t>]</w:t>
      </w:r>
    </w:p>
    <w:p w14:paraId="00000043" w14:textId="77777777" w:rsidR="004601E7" w:rsidRPr="00F36398" w:rsidRDefault="004601E7"/>
    <w:p w14:paraId="00000044" w14:textId="77777777" w:rsidR="004601E7" w:rsidRPr="00F36398" w:rsidRDefault="00F36398">
      <w:r w:rsidRPr="00F36398">
        <w:t>[</w:t>
      </w:r>
      <w:r w:rsidRPr="00F36398">
        <w:rPr>
          <w:i/>
        </w:rPr>
        <w:t xml:space="preserve">Insert in </w:t>
      </w:r>
      <w:r w:rsidRPr="00F36398">
        <w:rPr>
          <w:b/>
          <w:i/>
        </w:rPr>
        <w:t>Document Requirements</w:t>
      </w:r>
      <w:r w:rsidRPr="00F36398">
        <w:rPr>
          <w:i/>
        </w:rPr>
        <w:t xml:space="preserve"> section</w:t>
      </w:r>
      <w:r w:rsidRPr="00F36398">
        <w:t>] Vendors shall submit a sample Green Products Report to [</w:t>
      </w:r>
      <w:r w:rsidRPr="00F36398">
        <w:rPr>
          <w:i/>
        </w:rPr>
        <w:t>your organization</w:t>
      </w:r>
      <w:r w:rsidRPr="00F36398">
        <w:t>] with every invoice. This report will serve as a</w:t>
      </w:r>
      <w:r w:rsidRPr="00F36398">
        <w:t xml:space="preserve">n example of the regular Green Products Report expected during the duration of the contract and should include </w:t>
      </w:r>
      <w:r w:rsidRPr="00F36398">
        <w:lastRenderedPageBreak/>
        <w:t xml:space="preserve">the type of product supplied, quantity, dollar value, and type of green certification the product qualifies for, for </w:t>
      </w:r>
      <w:r w:rsidRPr="00F36398">
        <w:rPr>
          <w:u w:val="single"/>
        </w:rPr>
        <w:t>all</w:t>
      </w:r>
      <w:r w:rsidRPr="00F36398">
        <w:t xml:space="preserve"> outdoor lighting product</w:t>
      </w:r>
      <w:r w:rsidRPr="00F36398">
        <w:t>s supplied.</w:t>
      </w:r>
    </w:p>
    <w:p w14:paraId="00000045" w14:textId="77777777" w:rsidR="004601E7" w:rsidRPr="00F36398" w:rsidRDefault="004601E7"/>
    <w:p w14:paraId="00000046" w14:textId="77777777" w:rsidR="004601E7" w:rsidRPr="00F36398" w:rsidRDefault="00F36398">
      <w:r w:rsidRPr="00F36398">
        <w:t>[</w:t>
      </w:r>
      <w:r w:rsidRPr="00F36398">
        <w:rPr>
          <w:i/>
        </w:rPr>
        <w:t xml:space="preserve">Insert in </w:t>
      </w:r>
      <w:r w:rsidRPr="00F36398">
        <w:rPr>
          <w:b/>
          <w:i/>
        </w:rPr>
        <w:t xml:space="preserve">Evaluation Criteria </w:t>
      </w:r>
      <w:r w:rsidRPr="00F36398">
        <w:rPr>
          <w:i/>
        </w:rPr>
        <w:t>section</w:t>
      </w:r>
      <w:r w:rsidRPr="00F36398">
        <w:t>] Additional points shall be awarded to Vendors able to provide a Green Products Report with every invoice for the duration of the contract. The Green Products report must include all of the information sp</w:t>
      </w:r>
      <w:r w:rsidRPr="00F36398">
        <w:t xml:space="preserve">ecified in the </w:t>
      </w:r>
      <w:r w:rsidRPr="00F36398">
        <w:rPr>
          <w:b/>
        </w:rPr>
        <w:t>Document Requirements</w:t>
      </w:r>
      <w:r w:rsidRPr="00F36398">
        <w:t xml:space="preserve"> section for </w:t>
      </w:r>
      <w:r w:rsidRPr="00F36398">
        <w:rPr>
          <w:u w:val="single"/>
        </w:rPr>
        <w:t>all</w:t>
      </w:r>
      <w:r w:rsidRPr="00F36398">
        <w:t xml:space="preserve"> outdoor lighting products supplied.</w:t>
      </w:r>
    </w:p>
    <w:p w14:paraId="00000047" w14:textId="77777777" w:rsidR="004601E7" w:rsidRPr="00F36398" w:rsidRDefault="004601E7"/>
    <w:p w14:paraId="00000048" w14:textId="77777777" w:rsidR="004601E7" w:rsidRPr="00F36398" w:rsidRDefault="00F36398">
      <w:pPr>
        <w:rPr>
          <w:sz w:val="18"/>
          <w:szCs w:val="18"/>
        </w:rPr>
      </w:pPr>
      <w:r w:rsidRPr="00F36398">
        <w:t>[</w:t>
      </w:r>
      <w:r w:rsidRPr="00F36398">
        <w:rPr>
          <w:i/>
        </w:rPr>
        <w:t xml:space="preserve">Insert in </w:t>
      </w:r>
      <w:r w:rsidRPr="00F36398">
        <w:rPr>
          <w:b/>
          <w:i/>
        </w:rPr>
        <w:t>Document Requirements</w:t>
      </w:r>
      <w:r w:rsidRPr="00F36398">
        <w:rPr>
          <w:i/>
        </w:rPr>
        <w:t xml:space="preserve"> section *Include in contract language</w:t>
      </w:r>
      <w:r w:rsidRPr="00F36398">
        <w:t>] Vendors shall provide a Green Products Report to [</w:t>
      </w:r>
      <w:r w:rsidRPr="00F36398">
        <w:rPr>
          <w:i/>
        </w:rPr>
        <w:t>your organization</w:t>
      </w:r>
      <w:r w:rsidRPr="00F36398">
        <w:t xml:space="preserve">] with every invoice. This report should include the type of product supplied, quantity, dollar value, and type of green certification the product qualifies for, for </w:t>
      </w:r>
      <w:r w:rsidRPr="00F36398">
        <w:rPr>
          <w:u w:val="single"/>
        </w:rPr>
        <w:t>all</w:t>
      </w:r>
      <w:r w:rsidRPr="00F36398">
        <w:t xml:space="preserve"> outdoor lighting </w:t>
      </w:r>
      <w:r w:rsidRPr="00F36398">
        <w:t>products supplied.</w:t>
      </w:r>
    </w:p>
    <w:p w14:paraId="00000049" w14:textId="77777777" w:rsidR="004601E7" w:rsidRPr="00F36398" w:rsidRDefault="004601E7">
      <w:pPr>
        <w:rPr>
          <w:sz w:val="18"/>
          <w:szCs w:val="18"/>
        </w:rPr>
      </w:pPr>
    </w:p>
    <w:p w14:paraId="0000004A" w14:textId="77777777" w:rsidR="004601E7" w:rsidRPr="00F36398" w:rsidRDefault="004601E7">
      <w:pPr>
        <w:rPr>
          <w:sz w:val="18"/>
          <w:szCs w:val="18"/>
        </w:rPr>
      </w:pPr>
    </w:p>
    <w:p w14:paraId="0000004B" w14:textId="77777777" w:rsidR="004601E7" w:rsidRDefault="00F36398">
      <w:r w:rsidRPr="00F36398">
        <w:rPr>
          <w:sz w:val="18"/>
          <w:szCs w:val="18"/>
        </w:rPr>
        <w:t xml:space="preserve">Reference: SF Tool Green Procurement Compilation -  </w:t>
      </w:r>
      <w:hyperlink r:id="rId16">
        <w:r w:rsidRPr="00F36398">
          <w:rPr>
            <w:color w:val="1155CC"/>
            <w:sz w:val="18"/>
            <w:szCs w:val="18"/>
            <w:u w:val="single"/>
          </w:rPr>
          <w:t>https://sftool.gov/greenprocurement</w:t>
        </w:r>
      </w:hyperlink>
      <w:r>
        <w:rPr>
          <w:sz w:val="18"/>
          <w:szCs w:val="18"/>
        </w:rPr>
        <w:t xml:space="preserve"> </w:t>
      </w:r>
    </w:p>
    <w:sectPr w:rsidR="004601E7">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8AF97" w14:textId="77777777" w:rsidR="00000000" w:rsidRDefault="00F36398">
      <w:pPr>
        <w:spacing w:line="240" w:lineRule="auto"/>
      </w:pPr>
      <w:r>
        <w:separator/>
      </w:r>
    </w:p>
  </w:endnote>
  <w:endnote w:type="continuationSeparator" w:id="0">
    <w:p w14:paraId="70B5342B" w14:textId="77777777" w:rsidR="00000000" w:rsidRDefault="00F36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13695" w14:textId="77777777" w:rsidR="00000000" w:rsidRDefault="00F36398">
      <w:pPr>
        <w:spacing w:line="240" w:lineRule="auto"/>
      </w:pPr>
      <w:r>
        <w:separator/>
      </w:r>
    </w:p>
  </w:footnote>
  <w:footnote w:type="continuationSeparator" w:id="0">
    <w:p w14:paraId="25DAD56B" w14:textId="77777777" w:rsidR="00000000" w:rsidRDefault="00F36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C" w14:textId="77777777" w:rsidR="004601E7" w:rsidRDefault="004601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E7"/>
    <w:rsid w:val="004601E7"/>
    <w:rsid w:val="00F3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D6A08F9-027E-FC42-9927-B9297A6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esignlights.org/solid-state-lighting/qualification-requirements/v5-1-technical-requirements-tables/" TargetMode="External"/><Relationship Id="rId13" Type="http://schemas.openxmlformats.org/officeDocument/2006/relationships/hyperlink" Target="https://www.designlights.org/sear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signlights.org/solid-state-lighting/qualification-requirements/v5-1-technical-requirements-tables/" TargetMode="External"/><Relationship Id="rId12" Type="http://schemas.openxmlformats.org/officeDocument/2006/relationships/hyperlink" Target="https://www.designlights.org/solid-state-lighting/qualification-requirements/technical-requirements-v5-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ftool.gov/greenprocurement" TargetMode="External"/><Relationship Id="rId1" Type="http://schemas.openxmlformats.org/officeDocument/2006/relationships/styles" Target="styles.xml"/><Relationship Id="rId6" Type="http://schemas.openxmlformats.org/officeDocument/2006/relationships/hyperlink" Target="https://www.energy.gov/eere/femp/purchasing-energy-efficient-exterior-lighting" TargetMode="External"/><Relationship Id="rId11" Type="http://schemas.openxmlformats.org/officeDocument/2006/relationships/hyperlink" Target="https://www.designlights.org/search/" TargetMode="External"/><Relationship Id="rId5" Type="http://schemas.openxmlformats.org/officeDocument/2006/relationships/endnotes" Target="endnotes.xml"/><Relationship Id="rId15" Type="http://schemas.openxmlformats.org/officeDocument/2006/relationships/hyperlink" Target="https://nvlpubs.nist.gov/nistpubs/hb/2020/NIST.HB.135-2020.pdf" TargetMode="External"/><Relationship Id="rId10" Type="http://schemas.openxmlformats.org/officeDocument/2006/relationships/hyperlink" Target="https://www.designlights.org/searc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nergystar.gov/sites/default/files/Luminaires%20V2.2%20Final%20Specification.pdf" TargetMode="External"/><Relationship Id="rId14" Type="http://schemas.openxmlformats.org/officeDocument/2006/relationships/hyperlink" Target="https://www.designlights.org/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4944</Characters>
  <Application>Microsoft Office Word</Application>
  <DocSecurity>0</DocSecurity>
  <Lines>197</Lines>
  <Paragraphs>79</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Cheuk</cp:lastModifiedBy>
  <cp:revision>2</cp:revision>
  <dcterms:created xsi:type="dcterms:W3CDTF">2021-07-16T23:47:00Z</dcterms:created>
  <dcterms:modified xsi:type="dcterms:W3CDTF">2021-07-16T23:47:00Z</dcterms:modified>
</cp:coreProperties>
</file>